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A119D" w:rsidRPr="00AA119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AA119D" w:rsidP="003701A1">
      <w:pPr>
        <w:pStyle w:val="a9"/>
        <w:jc w:val="center"/>
        <w:rPr>
          <w:rFonts w:ascii="Times New Roman" w:hAnsi="Times New Roman"/>
          <w:b/>
          <w:sz w:val="28"/>
          <w:szCs w:val="28"/>
        </w:rPr>
      </w:pPr>
      <w:r w:rsidRPr="00AA119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3701A1" w:rsidRPr="00745D6D" w:rsidRDefault="00745D6D" w:rsidP="003701A1">
      <w:pPr>
        <w:spacing w:after="0"/>
        <w:jc w:val="both"/>
        <w:rPr>
          <w:rFonts w:ascii="Times New Roman" w:hAnsi="Times New Roman"/>
          <w:bCs/>
          <w:sz w:val="24"/>
          <w:szCs w:val="24"/>
        </w:rPr>
      </w:pPr>
      <w:r w:rsidRPr="00745D6D">
        <w:rPr>
          <w:rFonts w:ascii="Times New Roman" w:hAnsi="Times New Roman"/>
          <w:bCs/>
          <w:sz w:val="24"/>
          <w:szCs w:val="24"/>
        </w:rPr>
        <w:t xml:space="preserve">в </w:t>
      </w:r>
      <w:r w:rsidR="007A2086">
        <w:rPr>
          <w:rFonts w:ascii="Times New Roman" w:hAnsi="Times New Roman"/>
          <w:bCs/>
          <w:sz w:val="24"/>
          <w:szCs w:val="24"/>
        </w:rPr>
        <w:t xml:space="preserve">Ростовском муниципальном районе </w:t>
      </w:r>
      <w:r w:rsidRPr="00745D6D">
        <w:rPr>
          <w:rFonts w:ascii="Times New Roman" w:hAnsi="Times New Roman"/>
          <w:bCs/>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802E3C" w:rsidRPr="00745D6D" w:rsidRDefault="00802E3C" w:rsidP="00C36508">
      <w:pPr>
        <w:widowControl w:val="0"/>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7A2086">
        <w:rPr>
          <w:rFonts w:ascii="Times New Roman" w:hAnsi="Times New Roman"/>
          <w:bCs/>
          <w:sz w:val="24"/>
          <w:szCs w:val="24"/>
        </w:rPr>
        <w:t xml:space="preserve">Ростовском 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7A2086">
        <w:rPr>
          <w:rFonts w:ascii="Times New Roman" w:hAnsi="Times New Roman"/>
          <w:bCs/>
          <w:sz w:val="24"/>
          <w:szCs w:val="24"/>
        </w:rPr>
        <w:t xml:space="preserve">Ростовском муниципальном районе </w:t>
      </w:r>
      <w:r w:rsidR="007A2086" w:rsidRPr="00745D6D">
        <w:rPr>
          <w:rFonts w:ascii="Times New Roman" w:hAnsi="Times New Roman"/>
          <w:bCs/>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745D6D" w:rsidRDefault="00802E3C" w:rsidP="00802E3C">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7A2086">
        <w:rPr>
          <w:rFonts w:ascii="Times New Roman" w:hAnsi="Times New Roman"/>
          <w:bCs/>
          <w:sz w:val="24"/>
          <w:szCs w:val="24"/>
        </w:rPr>
        <w:t xml:space="preserve">Ростовском 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C36508">
        <w:rPr>
          <w:rFonts w:ascii="Times New Roman" w:hAnsi="Times New Roman"/>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18"/>
          <w:szCs w:val="18"/>
        </w:rPr>
        <w:t xml:space="preserve">в </w:t>
      </w:r>
      <w:r w:rsidR="007A2086" w:rsidRPr="007A2086">
        <w:rPr>
          <w:rFonts w:ascii="Times New Roman" w:hAnsi="Times New Roman"/>
          <w:bCs/>
          <w:sz w:val="18"/>
          <w:szCs w:val="18"/>
        </w:rPr>
        <w:t>Ростовском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Ярославской области в периодическом печатном издании – газете, распространяемой в</w:t>
      </w:r>
      <w:r w:rsidR="00745D6D" w:rsidRPr="007A2086">
        <w:rPr>
          <w:rFonts w:ascii="Times New Roman" w:hAnsi="Times New Roman"/>
          <w:bCs/>
          <w:sz w:val="20"/>
          <w:szCs w:val="20"/>
        </w:rPr>
        <w:t xml:space="preserve"> </w:t>
      </w:r>
      <w:r w:rsidR="007A2086" w:rsidRPr="007A2086">
        <w:rPr>
          <w:rFonts w:ascii="Times New Roman" w:hAnsi="Times New Roman"/>
          <w:bCs/>
          <w:sz w:val="20"/>
          <w:szCs w:val="20"/>
        </w:rPr>
        <w:t>Ростовском муниципальном районе Ярославской области</w:t>
      </w:r>
      <w:r w:rsidR="00745D6D"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745D6D" w:rsidRPr="007A2086">
        <w:rPr>
          <w:rFonts w:ascii="Times New Roman" w:hAnsi="Times New Roman"/>
          <w:bCs/>
          <w:sz w:val="18"/>
          <w:szCs w:val="18"/>
        </w:rPr>
        <w:t xml:space="preserve">в </w:t>
      </w:r>
      <w:r w:rsidR="007A2086" w:rsidRPr="007A2086">
        <w:rPr>
          <w:rFonts w:ascii="Times New Roman" w:hAnsi="Times New Roman"/>
          <w:bCs/>
          <w:sz w:val="18"/>
          <w:szCs w:val="18"/>
        </w:rPr>
        <w:t>Ростовском муниципальном районе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7A2086"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24</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7A2086" w:rsidRPr="007A2086">
        <w:rPr>
          <w:rFonts w:ascii="Times New Roman" w:hAnsi="Times New Roman"/>
          <w:bCs/>
          <w:sz w:val="18"/>
          <w:szCs w:val="18"/>
        </w:rPr>
        <w:t>Ростовский муниципальный район 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96307E"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D5725"/>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34C62"/>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32BF3"/>
    <w:rsid w:val="0055013F"/>
    <w:rsid w:val="005641AA"/>
    <w:rsid w:val="00566C72"/>
    <w:rsid w:val="005B1306"/>
    <w:rsid w:val="005B3DC4"/>
    <w:rsid w:val="005C273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5D6D"/>
    <w:rsid w:val="00753DAD"/>
    <w:rsid w:val="007A2086"/>
    <w:rsid w:val="007A2B59"/>
    <w:rsid w:val="007E08A6"/>
    <w:rsid w:val="00802E3C"/>
    <w:rsid w:val="0086246C"/>
    <w:rsid w:val="008879B7"/>
    <w:rsid w:val="00887BA4"/>
    <w:rsid w:val="00887FB4"/>
    <w:rsid w:val="008C215F"/>
    <w:rsid w:val="008F48F9"/>
    <w:rsid w:val="00901C6F"/>
    <w:rsid w:val="00947F0E"/>
    <w:rsid w:val="0095518D"/>
    <w:rsid w:val="0096307E"/>
    <w:rsid w:val="009A2A1D"/>
    <w:rsid w:val="009A5013"/>
    <w:rsid w:val="009C54A5"/>
    <w:rsid w:val="009D62C7"/>
    <w:rsid w:val="009F5542"/>
    <w:rsid w:val="009F5BF1"/>
    <w:rsid w:val="00A13F90"/>
    <w:rsid w:val="00A148FA"/>
    <w:rsid w:val="00A27633"/>
    <w:rsid w:val="00A3346F"/>
    <w:rsid w:val="00A629EE"/>
    <w:rsid w:val="00A668D4"/>
    <w:rsid w:val="00A7106D"/>
    <w:rsid w:val="00A77716"/>
    <w:rsid w:val="00A90A84"/>
    <w:rsid w:val="00AA119D"/>
    <w:rsid w:val="00AB2A00"/>
    <w:rsid w:val="00AD4E2B"/>
    <w:rsid w:val="00B04DE1"/>
    <w:rsid w:val="00B4393B"/>
    <w:rsid w:val="00B530C3"/>
    <w:rsid w:val="00B63486"/>
    <w:rsid w:val="00BB3CFA"/>
    <w:rsid w:val="00BC3EF4"/>
    <w:rsid w:val="00BE068F"/>
    <w:rsid w:val="00C01EAC"/>
    <w:rsid w:val="00C02D7C"/>
    <w:rsid w:val="00C1673A"/>
    <w:rsid w:val="00C16FB2"/>
    <w:rsid w:val="00C36508"/>
    <w:rsid w:val="00C61A5E"/>
    <w:rsid w:val="00C873A4"/>
    <w:rsid w:val="00CC3A6D"/>
    <w:rsid w:val="00CC600F"/>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28B1"/>
    <w:rsid w:val="00F83477"/>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3</cp:revision>
  <cp:lastPrinted>2022-11-08T07:03:00Z</cp:lastPrinted>
  <dcterms:created xsi:type="dcterms:W3CDTF">2023-03-27T12:22:00Z</dcterms:created>
  <dcterms:modified xsi:type="dcterms:W3CDTF">2023-03-27T12:25:00Z</dcterms:modified>
</cp:coreProperties>
</file>